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4"/>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4"/>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4"/>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4"/>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4"/>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 material Default of the Contract for the purposes of Clause 10.4.1(d) of the Core Terms where:</w:t>
      </w:r>
    </w:p>
    <w:p w:rsidR="00000000" w:rsidDel="00000000" w:rsidP="00000000" w:rsidRDefault="00000000" w:rsidRPr="00000000" w14:paraId="0000002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sz w:val="24"/>
                <w:szCs w:val="24"/>
                <w:rtl w:val="0"/>
              </w:rPr>
              <w:t xml:space="preserve">RM6261</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w:t>
      </w:r>
      <w:r w:rsidDel="00000000" w:rsidR="00000000" w:rsidRPr="00000000">
        <w:rPr>
          <w:rFonts w:ascii="Arial" w:cs="Arial" w:eastAsia="Arial" w:hAnsi="Arial"/>
          <w:sz w:val="24"/>
          <w:szCs w:val="24"/>
          <w:rtl w:val="0"/>
        </w:rPr>
        <w:t xml:space="preserve"> to liability are to include any liability whether actual, contingent, present or future.</w:t>
      </w:r>
    </w:p>
    <w:p w:rsidR="00000000" w:rsidDel="00000000" w:rsidP="00000000" w:rsidRDefault="00000000" w:rsidRPr="00000000" w14:paraId="0000005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1"/>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sz w:val="24"/>
          <w:szCs w:val="24"/>
          <w:rtl w:val="0"/>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judgement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w:t>
      </w:r>
      <w:r w:rsidDel="00000000" w:rsidR="00000000" w:rsidRPr="00000000">
        <w:rPr>
          <w:rFonts w:ascii="Arial" w:cs="Arial" w:eastAsia="Arial" w:hAnsi="Arial"/>
          <w:sz w:val="24"/>
          <w:szCs w:val="24"/>
          <w:rtl w:val="0"/>
        </w:rPr>
        <w:t xml:space="preserve">until the Beneficiary</w:t>
      </w:r>
      <w:r w:rsidDel="00000000" w:rsidR="00000000" w:rsidRPr="00000000">
        <w:rPr>
          <w:rFonts w:ascii="Arial" w:cs="Arial" w:eastAsia="Arial" w:hAnsi="Arial"/>
          <w:color w:val="000000"/>
          <w:sz w:val="24"/>
          <w:szCs w:val="24"/>
          <w:rtl w:val="0"/>
        </w:rPr>
        <w:t xml:space="preserve"> receives all </w:t>
      </w:r>
      <w:r w:rsidDel="00000000" w:rsidR="00000000" w:rsidRPr="00000000">
        <w:rPr>
          <w:rFonts w:ascii="Arial" w:cs="Arial" w:eastAsia="Arial" w:hAnsi="Arial"/>
          <w:color w:val="000000"/>
          <w:sz w:val="24"/>
          <w:szCs w:val="24"/>
          <w:rtl w:val="0"/>
        </w:rPr>
        <w:t xml:space="preserve">moneys</w:t>
      </w:r>
      <w:r w:rsidDel="00000000" w:rsidR="00000000" w:rsidRPr="00000000">
        <w:rPr>
          <w:rFonts w:ascii="Arial" w:cs="Arial" w:eastAsia="Arial" w:hAnsi="Arial"/>
          <w:color w:val="000000"/>
          <w:sz w:val="24"/>
          <w:szCs w:val="24"/>
          <w:rtl w:val="0"/>
        </w:rPr>
        <w:t xml:space="preserve"> payable hereunder and will hold any security taken in breach of this Clause on trust for the Beneficiary.</w:t>
      </w:r>
    </w:p>
    <w:p w:rsidR="00000000" w:rsidDel="00000000" w:rsidP="00000000" w:rsidRDefault="00000000" w:rsidRPr="00000000" w14:paraId="00000080">
      <w:pPr>
        <w:pStyle w:val="Heading1"/>
        <w:numPr>
          <w:ilvl w:val="0"/>
          <w:numId w:val="1"/>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decree or permit to which the Guarantor is subject; or</w:t>
      </w:r>
    </w:p>
    <w:p w:rsidR="00000000" w:rsidDel="00000000" w:rsidP="00000000" w:rsidRDefault="00000000" w:rsidRPr="00000000" w14:paraId="0000008F">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w:t>
      </w:r>
      <w:r w:rsidDel="00000000" w:rsidR="00000000" w:rsidRPr="00000000">
        <w:rPr>
          <w:rFonts w:ascii="Arial" w:cs="Arial" w:eastAsia="Arial" w:hAnsi="Arial"/>
          <w:sz w:val="24"/>
          <w:szCs w:val="24"/>
          <w:rtl w:val="0"/>
        </w:rPr>
        <w:t xml:space="preserve">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1"/>
        </w:numPr>
        <w:ind w:left="1429" w:hanging="720"/>
        <w:rPr>
          <w:rFonts w:ascii="Arial" w:cs="Arial" w:eastAsia="Arial" w:hAnsi="Arial"/>
          <w:sz w:val="24"/>
          <w:szCs w:val="24"/>
        </w:rPr>
      </w:pPr>
      <w:bookmarkStart w:colFirst="0" w:colLast="0" w:name="_heading=h.2s8eyo1" w:id="12"/>
      <w:bookmarkEnd w:id="12"/>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w:t>
      </w:r>
      <w:r w:rsidDel="00000000" w:rsidR="00000000" w:rsidRPr="00000000">
        <w:rPr>
          <w:rFonts w:ascii="Arial" w:cs="Arial" w:eastAsia="Arial" w:hAnsi="Arial"/>
          <w:sz w:val="24"/>
          <w:szCs w:val="24"/>
          <w:rtl w:val="0"/>
        </w:rPr>
        <w:t xml:space="preserve">of an English</w:t>
      </w:r>
      <w:r w:rsidDel="00000000" w:rsidR="00000000" w:rsidRPr="00000000">
        <w:rPr>
          <w:rFonts w:ascii="Arial" w:cs="Arial" w:eastAsia="Arial" w:hAnsi="Arial"/>
          <w:color w:val="000000"/>
          <w:sz w:val="24"/>
          <w:szCs w:val="24"/>
          <w:rtl w:val="0"/>
        </w:rPr>
        <w:t xml:space="preserve">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a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w:t>
      </w:r>
      <w:r w:rsidDel="00000000" w:rsidR="00000000" w:rsidRPr="00000000">
        <w:rPr>
          <w:rFonts w:ascii="Arial" w:cs="Arial" w:eastAsia="Arial" w:hAnsi="Arial"/>
          <w:b w:val="1"/>
          <w:color w:val="000000"/>
          <w:sz w:val="24"/>
          <w:szCs w:val="24"/>
          <w:highlight w:val="white"/>
          <w:rtl w:val="0"/>
        </w:rPr>
        <w:t xml:space="preserve">RM</w:t>
      </w:r>
      <w:r w:rsidDel="00000000" w:rsidR="00000000" w:rsidRPr="00000000">
        <w:rPr>
          <w:rFonts w:ascii="Arial" w:cs="Arial" w:eastAsia="Arial" w:hAnsi="Arial"/>
          <w:b w:val="1"/>
          <w:sz w:val="24"/>
          <w:szCs w:val="24"/>
          <w:highlight w:val="white"/>
          <w:rtl w:val="0"/>
        </w:rPr>
        <w:t xml:space="preserve">6261</w:t>
      </w:r>
      <w:r w:rsidDel="00000000" w:rsidR="00000000" w:rsidRPr="00000000">
        <w:rPr>
          <w:rFonts w:ascii="Arial" w:cs="Arial" w:eastAsia="Arial" w:hAnsi="Arial"/>
          <w:b w:val="1"/>
          <w:color w:val="000000"/>
          <w:sz w:val="24"/>
          <w:szCs w:val="24"/>
          <w:highlight w:val="white"/>
          <w:rtl w:val="0"/>
        </w:rPr>
        <w:t xml:space="preserve"> </w:t>
      </w:r>
      <w:r w:rsidDel="00000000" w:rsidR="00000000" w:rsidRPr="00000000">
        <w:rPr>
          <w:rFonts w:ascii="Arial" w:cs="Arial" w:eastAsia="Arial" w:hAnsi="Arial"/>
          <w:b w:val="1"/>
          <w:color w:val="000000"/>
          <w:sz w:val="24"/>
          <w:szCs w:val="24"/>
          <w:rtl w:val="0"/>
        </w:rPr>
        <w:t xml:space="preserve">(the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9">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numPr>
          <w:ilvl w:val="1"/>
          <w:numId w:val="2"/>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Framework Contract); and</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numPr>
          <w:ilvl w:val="1"/>
          <w:numId w:val="2"/>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Framework Contract; and</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numPr>
          <w:ilvl w:val="2"/>
          <w:numId w:val="2"/>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numPr>
          <w:ilvl w:val="2"/>
          <w:numId w:val="2"/>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Framework Contract; or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numPr>
          <w:ilvl w:val="2"/>
          <w:numId w:val="2"/>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w:t>
      </w:r>
      <w:r w:rsidDel="00000000" w:rsidR="00000000" w:rsidRPr="00000000">
        <w:rPr>
          <w:rFonts w:ascii="Arial" w:cs="Arial" w:eastAsia="Arial" w:hAnsi="Arial"/>
          <w:color w:val="000000"/>
          <w:sz w:val="24"/>
          <w:szCs w:val="24"/>
          <w:rtl w:val="0"/>
        </w:rPr>
        <w:t xml:space="preserve"> Event occurs in respect of the Guarantor.</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numPr>
          <w:ilvl w:val="0"/>
          <w:numId w:val="2"/>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numPr>
          <w:ilvl w:val="0"/>
          <w:numId w:val="3"/>
        </w:numPr>
        <w:pBdr>
          <w:top w:space="0" w:sz="0" w:val="nil"/>
          <w:left w:space="0" w:sz="0" w:val="nil"/>
          <w:bottom w:space="0" w:sz="0" w:val="nil"/>
          <w:right w:space="0" w:sz="0" w:val="nil"/>
          <w:between w:space="0" w:sz="0" w:val="nil"/>
        </w:pBdr>
        <w:tabs>
          <w:tab w:val="left"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table" w:styleId="a1" w:customStyle="1">
    <w:basedOn w:val="TableNormal"/>
    <w:pPr>
      <w:spacing w:after="0"/>
    </w:pPr>
    <w:tblPr>
      <w:tblStyleRowBandSize w:val="1"/>
      <w:tblStyleColBandSize w:val="1"/>
      <w:tblCellMar>
        <w:left w:w="115.0" w:type="dxa"/>
        <w:right w:w="115.0" w:type="dxa"/>
      </w:tblCellMar>
    </w:tblPr>
  </w:style>
  <w:style w:type="table" w:styleId="a2"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klkUHjEgT0XgHVhhKTYrUuUBFA==">AMUW2mXfV7RK4+7y2Ubk3wW/ZEU+537pHlAVSGY8XjPGYuUWeg+0XTiokmRHPzHUY8348vCZZ/No+ixoOPp4lZ8agpDsIDZACDA5tCDQSxtvZzTGelXfjMdiZolCuTm2ye3ngXvIU+MXlKtlou6nlMItP316iUs5QJAs2FWOshI7/KfZuIisdJFzTvHNg6xrTZscNFTdN53/YDVTrgXDJmNrpxTopvCkQNbrT+lFHP/yJgNsh9GfOb4HUQvcC2a/Ltb9Xi4xroS2TEx72DP/u5HRX+bVn3VAIle56uV2U6toAMpVCtJej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2022-08-03T13:05:00Z</dcterms:created>
  <dc:creator>David Tinkler</dc:creator>
</cp:coreProperties>
</file>